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超越教学法：语言教学的宏观策略=BEYOND METHODS MACROSTRATEGIES FOR LANGUAGE TEACHING</w:t>
      </w:r>
    </w:p>
    <w:p>
      <w:r>
        <w:rPr>
          <w:rFonts w:ascii="宋体" w:hAnsi="宋体" w:eastAsia="宋体"/>
          <w:sz w:val="24"/>
        </w:rPr>
        <w:t>（美）库玛著；陶健敏译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超越教学法：语言教学的宏观策略=BEYOND METHODS MACROSTRATEGIES FOR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（美）库玛著；陶健敏译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本书出售、求购地址：https://www.jiaokey.com/book/detail/13254158.html</w:t>
      </w:r>
    </w:p>
    <w:p>
      <w:r>
        <w:t>更多相关图书推荐：https://www.jiaokey.com</w:t>
      </w:r>
    </w:p>
    <w:p>
      <w:r>
        <w:t>（美）库玛著；陶健敏译 其他作品：https://www.jiaokey.com/tag/（美）库玛著；陶健敏译.html</w:t>
      </w:r>
    </w:p>
    <w:p>
      <w:r>
        <w:t>北京大学出版社 出版图书：https://www.jiaokey.com/tag/北京大学出版社.html</w:t>
      </w:r>
    </w:p>
    <w:p>
      <w:r>
        <w:t>关键词搜索：https://www.jiaokey.com/tag/超越教学法：语言教学的宏观策略=BEYOND METHODS MACROSTRATEGIES FOR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