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量化投资策略如何实现超额收益ALPHA</w:t>
      </w:r>
    </w:p>
    <w:p>
      <w:r>
        <w:rPr>
          <w:rFonts w:ascii="宋体" w:hAnsi="宋体" w:eastAsia="宋体"/>
          <w:sz w:val="24"/>
        </w:rPr>
        <w:t>（美）理查德·托托里罗著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量化投资策略如何实现超额收益ALPHA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（美）理查德·托托里罗著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本书出售、求购地址：https://www.jiaokey.com/book/detail/13254018.html</w:t>
      </w:r>
    </w:p>
    <w:p>
      <w:r>
        <w:t>更多相关图书推荐：https://www.jiaokey.com</w:t>
      </w:r>
    </w:p>
    <w:p>
      <w:r>
        <w:t>（美）理查德·托托里罗著 其他作品：https://www.jiaokey.com/tag/（美）理查德·托托里罗著.html</w:t>
      </w:r>
    </w:p>
    <w:p>
      <w:r>
        <w:t>关键词搜索：https://www.jiaokey.com/tag/量化投资策略如何实现超额收益ALPHA.html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