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垄断、制度变迁与国有独资银行的改革</w:t>
      </w:r>
    </w:p>
    <w:p>
      <w:r>
        <w:rPr>
          <w:rFonts w:ascii="宋体" w:hAnsi="宋体" w:eastAsia="宋体"/>
          <w:sz w:val="24"/>
        </w:rPr>
        <w:t>李义奇主持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垄断、制度变迁与国有独资银行的改革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李义奇主持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河南金融管理干部学院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本书出售、求购地址：https://www.jiaokey.com/book/detail/13251763.html</w:t>
      </w:r>
    </w:p>
    <w:p>
      <w:r>
        <w:t>更多相关图书推荐：https://www.jiaokey.com</w:t>
      </w:r>
    </w:p>
    <w:p>
      <w:r>
        <w:t>李义奇主持 其他作品：https://www.jiaokey.com/tag/李义奇主持.html</w:t>
      </w:r>
    </w:p>
    <w:p>
      <w:r>
        <w:t>河南金融管理干部学院 出版图书：https://www.jiaokey.com/tag/河南金融管理干部学院.html</w:t>
      </w:r>
    </w:p>
    <w:p>
      <w:r>
        <w:t>关键词搜索：https://www.jiaokey.com/tag/垄断、制度变迁与国有独资银行的改革.html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