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提高新型织机综合经济效益国外文献资料摘编</w:t>
      </w:r>
    </w:p>
    <w:p>
      <w:r>
        <w:rPr>
          <w:rFonts w:ascii="宋体" w:hAnsi="宋体" w:eastAsia="宋体"/>
          <w:sz w:val="24"/>
        </w:rPr>
        <w:t>石家庄市纺织公司课题组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提高新型织机综合经济效益国外文献资料摘编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石家庄市纺织公司课题组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石家庄市纺织公司课题组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本书出售、求购地址：https://www.jiaokey.com/book/detail/13250311.html</w:t>
      </w:r>
    </w:p>
    <w:p>
      <w:r>
        <w:t>更多相关图书推荐：https://www.jiaokey.com</w:t>
      </w:r>
    </w:p>
    <w:p>
      <w:r>
        <w:t>石家庄市纺织公司课题组 其他作品：https://www.jiaokey.com/tag/石家庄市纺织公司课题组.html</w:t>
      </w:r>
    </w:p>
    <w:p>
      <w:r>
        <w:t>石家庄市纺织公司课题组 出版图书：https://www.jiaokey.com/tag/石家庄市纺织公司课题组.html</w:t>
      </w:r>
    </w:p>
    <w:p>
      <w:r>
        <w:t>关键词搜索：https://www.jiaokey.com/tag/提高新型织机综合经济效益国外文献资料摘编.html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