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从“五族共和”到五域统合  辛亥革命和中国国家形态近代转型</w:t>
      </w:r>
    </w:p>
    <w:p>
      <w:r>
        <w:rPr>
          <w:rFonts w:ascii="宋体" w:hAnsi="宋体" w:eastAsia="宋体"/>
          <w:sz w:val="24"/>
        </w:rPr>
        <w:t>刘晓原著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从“五族共和”到五域统合  辛亥革命和中国国家形态近代转型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国史馆；财团法人中正文教基金会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本书出售、求购地址：https://www.jiaokey.com/book/detail/13249114.html</w:t>
      </w:r>
    </w:p>
    <w:p>
      <w:r>
        <w:t>更多相关图书推荐：https://www.jiaokey.com</w:t>
      </w:r>
    </w:p>
    <w:p>
      <w:r>
        <w:t>刘晓原著 其他作品：https://www.jiaokey.com/tag/刘晓原著.html</w:t>
      </w:r>
    </w:p>
    <w:p>
      <w:r>
        <w:t>国史馆；财团法人中正文教基金会 出版图书：https://www.jiaokey.com/tag/国史馆；财团法人中正文教基金会.html</w:t>
      </w:r>
    </w:p>
    <w:p>
      <w:r>
        <w:t>关键词搜索：https://www.jiaokey.com/tag/从“五族共和”到五域统合  辛亥革命和中国国家形态近代转型.html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