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宪政公共空间与训政体制  1944年重庆政府的政治进程</w:t>
      </w:r>
    </w:p>
    <w:p>
      <w:r>
        <w:rPr>
          <w:rFonts w:ascii="宋体" w:hAnsi="宋体" w:eastAsia="宋体"/>
          <w:sz w:val="24"/>
        </w:rPr>
        <w:t>西村成雄著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宪政公共空间与训政体制  1944年重庆政府的政治进程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国史馆；财团法人中正文教基金会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本书出售、求购地址：https://www.jiaokey.com/book/detail/13249110.html</w:t>
      </w:r>
    </w:p>
    <w:p>
      <w:r>
        <w:t>更多相关图书推荐：https://www.jiaokey.com</w:t>
      </w:r>
    </w:p>
    <w:p>
      <w:r>
        <w:t>西村成雄著 其他作品：https://www.jiaokey.com/tag/西村成雄著.html</w:t>
      </w:r>
    </w:p>
    <w:p>
      <w:r>
        <w:t>国史馆；财团法人中正文教基金会 出版图书：https://www.jiaokey.com/tag/国史馆；财团法人中正文教基金会.html</w:t>
      </w:r>
    </w:p>
    <w:p>
      <w:r>
        <w:t>关键词搜索：https://www.jiaokey.com/tag/宪政公共空间与训政体制  1944年重庆政府的政治进程.html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