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唤起课堂的生命活力  来自农村初中教学改革的草根实践</w:t>
      </w:r>
    </w:p>
    <w:p>
      <w:r>
        <w:rPr>
          <w:rFonts w:ascii="宋体" w:hAnsi="宋体" w:eastAsia="宋体"/>
          <w:sz w:val="24"/>
        </w:rPr>
        <w:t>李伯华，李四同主编；刘祥，陈宏军，贾万林等编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唤起课堂的生命活力  来自农村初中教学改革的草根实践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李伯华，李四同主编；刘祥，陈宏军，贾万林等编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本书出售、求购地址：https://www.jiaokey.com/book/detail/13248049.html</w:t>
      </w:r>
    </w:p>
    <w:p>
      <w:r>
        <w:t>更多相关图书推荐：https://www.jiaokey.com</w:t>
      </w:r>
    </w:p>
    <w:p>
      <w:r>
        <w:t>李伯华，李四同主编；刘祥，陈宏军，贾万林等编 其他作品：https://www.jiaokey.com/tag/李伯华，李四同主编；刘祥，陈宏军，贾万林等编.html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关键词搜索：https://www.jiaokey.com/tag/唤起课堂的生命活力  来自农村初中教学改革的草根实践.html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