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商道伦理与人文精神</w:t>
      </w:r>
    </w:p>
    <w:p>
      <w:r>
        <w:rPr>
          <w:rFonts w:ascii="宋体" w:hAnsi="宋体" w:eastAsia="宋体"/>
          <w:sz w:val="24"/>
        </w:rPr>
        <w:t>吴锦凤，吕宗麟，彭国梁，温媺玫，蔡宝隆，郑锡聪著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商道伦理与人文精神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吴锦凤，吕宗麟，彭国梁，温媺玫，蔡宝隆，郑锡聪著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本书出售、求购地址：https://www.jiaokey.com/book/detail/13243247.html</w:t>
      </w:r>
    </w:p>
    <w:p>
      <w:r>
        <w:t>更多相关图书推荐：https://www.jiaokey.com</w:t>
      </w:r>
    </w:p>
    <w:p>
      <w:r>
        <w:t>吴锦凤，吕宗麟，彭国梁，温媺玫，蔡宝隆，郑锡聪著 其他作品：https://www.jiaokey.com/tag/吴锦凤，吕宗麟，彭国梁，温媺玫，蔡宝隆，郑锡聪著.html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关键词搜索：https://www.jiaokey.com/tag/商道伦理与人文精神.html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