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Clojure编程</w:t>
      </w:r>
    </w:p>
    <w:p>
      <w:r>
        <w:rPr>
          <w:rFonts w:ascii="宋体" w:hAnsi="宋体" w:eastAsia="宋体"/>
          <w:sz w:val="24"/>
        </w:rPr>
        <w:t>（美）ChasEmerick（蔡司埃默里克），BrianCarper（布赖恩卡珀），ChristopheGrand（克里斯托弗格兰德）著；徐明明，杨寿勋译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（美）ChasEmerick（蔡司埃默里克），BrianCarper（布赖恩卡珀），ChristopheGrand（克里斯托弗格兰德）著；徐明明，杨寿勋译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本书出售、求购地址：https://www.jiaokey.com/book/detail/13241841.html</w:t>
      </w:r>
    </w:p>
    <w:p>
      <w:r>
        <w:t>更多相关图书推荐：https://www.jiaokey.com</w:t>
      </w:r>
    </w:p>
    <w:p>
      <w:r>
        <w:t>（美）ChasEmerick（蔡司埃默里克），BrianCarper（布赖恩卡珀），ChristopheGrand（克里斯托弗格兰德）著；徐明明，杨寿勋译 其他作品：https://www.jiaokey.com/tag/（美）ChasEmerick（蔡司埃默里克），BrianCarper（布赖恩卡珀），ChristopheGrand（克里斯托弗格兰德）著；徐明明，杨寿勋译.html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关键词搜索：https://www.jiaokey.com/tag/Clojure编程.html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