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  案例版</w:t>
      </w:r>
    </w:p>
    <w:p>
      <w:r>
        <w:rPr>
          <w:rFonts w:ascii="宋体" w:hAnsi="宋体" w:eastAsia="宋体"/>
          <w:sz w:val="24"/>
        </w:rPr>
        <w:t>姚光军主编；陈林丽，侯晓红，左利平副主编；陈林丽，范红艳，侯晓红等编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姚光军主编；陈林丽，侯晓红，左利平副主编；陈林丽，范红艳，侯晓红等编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本书出售、求购地址：https://www.jiaokey.com/book/detail/13241730.html</w:t>
      </w:r>
    </w:p>
    <w:p>
      <w:r>
        <w:t>更多相关图书推荐：https://www.jiaokey.com</w:t>
      </w:r>
    </w:p>
    <w:p>
      <w:r>
        <w:t>姚光军主编；陈林丽，侯晓红，左利平副主编；陈林丽，范红艳，侯晓红等编 其他作品：https://www.jiaokey.com/tag/姚光军主编；陈林丽，侯晓红，左利平副主编；陈林丽，范红艳，侯晓红等编.html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关键词搜索：https://www.jiaokey.com/tag/医用化学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