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把眼光放远点  独幕话剧</w:t>
      </w:r>
    </w:p>
    <w:p>
      <w:r>
        <w:rPr>
          <w:rFonts w:ascii="宋体" w:hAnsi="宋体" w:eastAsia="宋体"/>
          <w:sz w:val="24"/>
        </w:rPr>
        <w:t>冀中火线剧社集体创作；胡丹沸执笔；牧虹修改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把眼光放远点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冀中火线剧社集体创作；胡丹沸执笔；牧虹修改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本书出售、求购地址：https://www.jiaokey.com/book/detail/13240789.html</w:t>
      </w:r>
    </w:p>
    <w:p>
      <w:r>
        <w:t>更多相关图书推荐：https://www.jiaokey.com</w:t>
      </w:r>
    </w:p>
    <w:p>
      <w:r>
        <w:t>冀中火线剧社集体创作；胡丹沸执笔；牧虹修改 其他作品：https://www.jiaokey.com/tag/冀中火线剧社集体创作；胡丹沸执笔；牧虹修改.html</w:t>
      </w:r>
    </w:p>
    <w:p>
      <w:r>
        <w:t>大众书店 出版图书：https://www.jiaokey.com/tag/大众书店.html</w:t>
      </w:r>
    </w:p>
    <w:p>
      <w:r>
        <w:t>关键词搜索：https://www.jiaokey.com/tag/把眼光放远点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