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两面红旗  一幕两场歌剧</w:t>
      </w:r>
    </w:p>
    <w:p>
      <w:r>
        <w:rPr>
          <w:rFonts w:ascii="宋体" w:hAnsi="宋体" w:eastAsia="宋体"/>
          <w:sz w:val="24"/>
        </w:rPr>
        <w:t>丰永刚编剧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两面红旗  一幕两场歌剧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丰永刚编剧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中国铁路工会东北地区委员会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本书出售、求购地址：https://www.jiaokey.com/book/detail/13240495.html</w:t>
      </w:r>
    </w:p>
    <w:p>
      <w:r>
        <w:t>更多相关图书推荐：https://www.jiaokey.com</w:t>
      </w:r>
    </w:p>
    <w:p>
      <w:r>
        <w:t>丰永刚编剧 其他作品：https://www.jiaokey.com/tag/丰永刚编剧.html</w:t>
      </w:r>
    </w:p>
    <w:p>
      <w:r>
        <w:t>中国铁路工会东北地区委员会 出版图书：https://www.jiaokey.com/tag/中国铁路工会东北地区委员会.html</w:t>
      </w:r>
    </w:p>
    <w:p>
      <w:r>
        <w:t>关键词搜索：https://www.jiaokey.com/tag/两面红旗  一幕两场歌剧.html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