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劳动人民反孔斗争史话</w:t>
      </w:r>
    </w:p>
    <w:p>
      <w:r>
        <w:rPr>
          <w:rFonts w:ascii="宋体" w:hAnsi="宋体" w:eastAsia="宋体"/>
          <w:sz w:val="24"/>
        </w:rPr>
        <w:t>广东省直属机关党群五·七干校资料室编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劳动人民反孔斗争史话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广东省直属机关党群五·七干校资料室编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广东省直属机关党群五·七干校资料室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本书出售、求购地址：https://www.jiaokey.com/book/detail/13238103.html</w:t>
      </w:r>
    </w:p>
    <w:p>
      <w:r>
        <w:t>更多相关图书推荐：https://www.jiaokey.com</w:t>
      </w:r>
    </w:p>
    <w:p>
      <w:r>
        <w:t>广东省直属机关党群五·七干校资料室编 其他作品：https://www.jiaokey.com/tag/广东省直属机关党群五·七干校资料室编.html</w:t>
      </w:r>
    </w:p>
    <w:p>
      <w:r>
        <w:t>广东省直属机关党群五·七干校资料室 出版图书：https://www.jiaokey.com/tag/广东省直属机关党群五·七干校资料室.html</w:t>
      </w:r>
    </w:p>
    <w:p>
      <w:r>
        <w:t>关键词搜索：https://www.jiaokey.com/tag/劳动人民反孔斗争史话.html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