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香港新界侯族的建构  宗族组织与地方政治和民间宗教的关系</w:t>
      </w:r>
    </w:p>
    <w:p>
      <w:r>
        <w:rPr>
          <w:rFonts w:ascii="宋体" w:hAnsi="宋体" w:eastAsia="宋体"/>
          <w:sz w:val="24"/>
        </w:rPr>
        <w:t>谭思敏著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香港新界侯族的建构  宗族组织与地方政治和民间宗教的关系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本书出售、求购地址：https://www.jiaokey.com/book/detail/13237530.html</w:t>
      </w:r>
    </w:p>
    <w:p>
      <w:r>
        <w:t>更多相关图书推荐：https://www.jiaokey.com</w:t>
      </w:r>
    </w:p>
    <w:p>
      <w:r>
        <w:t>谭思敏著 其他作品：https://www.jiaokey.com/tag/谭思敏著.html</w:t>
      </w:r>
    </w:p>
    <w:p>
      <w:r>
        <w:t>中华书局(香港)有限公司 出版图书：https://www.jiaokey.com/tag/中华书局(香港)有限公司.html</w:t>
      </w:r>
    </w:p>
    <w:p>
      <w:r>
        <w:t>关键词搜索：https://www.jiaokey.com/tag/香港新界侯族的建构  宗族组织与地方政治和民间宗教的关系.html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