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21世纪世界经济新风云  金融海啸后美中台经济情势</w:t>
      </w:r>
    </w:p>
    <w:p>
      <w:r>
        <w:rPr>
          <w:rFonts w:ascii="宋体" w:hAnsi="宋体" w:eastAsia="宋体"/>
          <w:sz w:val="24"/>
        </w:rPr>
        <w:t>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21世纪世界经济新风云  金融海啸后美中台经济情势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本书出售、求购地址：https://www.jiaokey.com/book/detail/13237468.html</w:t>
      </w:r>
    </w:p>
    <w:p>
      <w:r>
        <w:t>更多相关图书推荐：https://www.jiaokey.com</w:t>
      </w:r>
    </w:p>
    <w:p>
      <w:r>
        <w:t>郑竹园著 其他作品：https://www.jiaokey.com/tag/郑竹园著.html</w:t>
      </w:r>
    </w:p>
    <w:p>
      <w:r>
        <w:t>海峡学术出版社 出版图书：https://www.jiaokey.com/tag/海峡学术出版社.html</w:t>
      </w:r>
    </w:p>
    <w:p>
      <w:r>
        <w:t>关键词搜索：https://www.jiaokey.com/tag/21世纪世界经济新风云  金融海啸后美中台经济情势.html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