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策略管理  第12版</w:t>
      </w:r>
    </w:p>
    <w:p>
      <w:r>
        <w:rPr>
          <w:rFonts w:ascii="宋体" w:hAnsi="宋体" w:eastAsia="宋体"/>
          <w:sz w:val="24"/>
        </w:rPr>
        <w:t>John A.Pearce II，Richard B.Robinson著；庄立民编译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策略管理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A.Pearce II，Richard B.Robinson著；庄立民编译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美商麦格罗·希尔国际股份有限公司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本书出售、求购地址：https://www.jiaokey.com/book/detail/13237429.html</w:t>
      </w:r>
    </w:p>
    <w:p>
      <w:r>
        <w:t>更多相关图书推荐：https://www.jiaokey.com</w:t>
      </w:r>
    </w:p>
    <w:p>
      <w:r>
        <w:t>John A.Pearce II，Richard B.Robinson著；庄立民编译 其他作品：https://www.jiaokey.com/tag/John A.Pearce II，Richard B.Robinson著；庄立民编译.html</w:t>
      </w:r>
    </w:p>
    <w:p>
      <w:r>
        <w:t>美商麦格罗·希尔国际股份有限公司 出版图书：https://www.jiaokey.com/tag/美商麦格罗·希尔国际股份有限公司.html</w:t>
      </w:r>
    </w:p>
    <w:p>
      <w:r>
        <w:t>关键词搜索：https://www.jiaokey.com/tag/策略管理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