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淮阴史事编年</w:t>
      </w:r>
    </w:p>
    <w:p>
      <w:r>
        <w:rPr>
          <w:rFonts w:ascii="宋体" w:hAnsi="宋体" w:eastAsia="宋体"/>
          <w:sz w:val="24"/>
        </w:rPr>
        <w:t>黄学楷领衔主编；荀德麟执行主编；陈凤雏，王立仕，刘功昭，胡苏陵副主编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淮阴史事编年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黄学楷领衔主编；荀德麟执行主编；陈凤雏，王立仕，刘功昭，胡苏陵副主编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本书出售、求购地址：https://www.jiaokey.com/book/detail/13232222.html</w:t>
      </w:r>
    </w:p>
    <w:p>
      <w:r>
        <w:t>更多相关图书推荐：https://www.jiaokey.com</w:t>
      </w:r>
    </w:p>
    <w:p>
      <w:r>
        <w:t>黄学楷领衔主编；荀德麟执行主编；陈凤雏，王立仕，刘功昭，胡苏陵副主编 其他作品：https://www.jiaokey.com/tag/黄学楷领衔主编；荀德麟执行主编；陈凤雏，王立仕，刘功昭，胡苏陵副主编.html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关键词搜索：https://www.jiaokey.com/tag/淮阴史事编年.html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