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《首阳吉金》选释</w:t>
      </w:r>
    </w:p>
    <w:p>
      <w:r>
        <w:rPr>
          <w:rFonts w:ascii="宋体" w:hAnsi="宋体" w:eastAsia="宋体"/>
          <w:sz w:val="24"/>
        </w:rPr>
        <w:t>沈宝春主编；高佑仁副主编；李佩霖，林佳桦，邱郁茹等著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《首阳吉金》选释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沈宝春主编；高佑仁副主编；李佩霖，林佳桦，邱郁茹等著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本书出售、求购地址：https://www.jiaokey.com/book/detail/13231556.html</w:t>
      </w:r>
    </w:p>
    <w:p>
      <w:r>
        <w:t>更多相关图书推荐：https://www.jiaokey.com</w:t>
      </w:r>
    </w:p>
    <w:p>
      <w:r>
        <w:t>沈宝春主编；高佑仁副主编；李佩霖，林佳桦，邱郁茹等著 其他作品：https://www.jiaokey.com/tag/沈宝春主编；高佑仁副主编；李佩霖，林佳桦，邱郁茹等著.html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关键词搜索：https://www.jiaokey.com/tag/《首阳吉金》选释.html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