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索引编制手册  基于GB/T 22466-2008索引编制规则</w:t>
      </w:r>
    </w:p>
    <w:p>
      <w:r>
        <w:rPr>
          <w:rFonts w:ascii="宋体" w:hAnsi="宋体" w:eastAsia="宋体"/>
          <w:sz w:val="24"/>
        </w:rPr>
        <w:t>侯汉清主编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索引编制手册  基于GB/T 22466-2008索引编制规则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  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本书出售、求购地址：https://www.jiaokey.com/book/detail/13231402.html</w:t>
      </w:r>
    </w:p>
    <w:p>
      <w:r>
        <w:t>更多相关图书推荐：https://www.jiaokey.com</w:t>
      </w:r>
    </w:p>
    <w:p>
      <w:r>
        <w:t>侯汉清主编 其他作品：https://www.jiaokey.com/tag/侯汉清主编.html</w:t>
      </w:r>
    </w:p>
    <w:p>
      <w:r>
        <w:t>中国质检出版社  中国标准出版社 出版图书：https://www.jiaokey.com/tag/中国质检出版社  中国标准出版社.html</w:t>
      </w:r>
    </w:p>
    <w:p>
      <w:r>
        <w:t>关键词搜索：https://www.jiaokey.com/tag/索引编制手册  基于GB/T 22466-2008索引编制规则.html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