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高校困难学生资助奖励政策解读、工作程序规范实施指导及相关标准规范实用手册  第3卷</w:t>
      </w:r>
    </w:p>
    <w:p>
      <w:r>
        <w:rPr>
          <w:rFonts w:ascii="宋体" w:hAnsi="宋体" w:eastAsia="宋体"/>
          <w:sz w:val="24"/>
        </w:rPr>
        <w:t>马文华著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高校困难学生资助奖励政策解读、工作程序规范实施指导及相关标准规范实用手册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本书出售、求购地址：https://www.jiaokey.com/book/detail/13229046.html</w:t>
      </w:r>
    </w:p>
    <w:p>
      <w:r>
        <w:t>更多相关图书推荐：https://www.jiaokey.com</w:t>
      </w:r>
    </w:p>
    <w:p>
      <w:r>
        <w:t>马文华著 其他作品：https://www.jiaokey.com/tag/马文华著.html</w:t>
      </w:r>
    </w:p>
    <w:p>
      <w:r>
        <w:t>华夏教育出版社 出版图书：https://www.jiaokey.com/tag/华夏教育出版社.html</w:t>
      </w:r>
    </w:p>
    <w:p>
      <w:r>
        <w:t>关键词搜索：https://www.jiaokey.com/tag/高校困难学生资助奖励政策解读、工作程序规范实施指导及相关标准规范实用手册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