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北京大学计算机学科核心课程系列实验班教学实施方案</w:t>
      </w:r>
    </w:p>
    <w:p>
      <w:r>
        <w:rPr>
          <w:rFonts w:ascii="宋体" w:hAnsi="宋体" w:eastAsia="宋体"/>
          <w:sz w:val="24"/>
        </w:rPr>
        <w:t>李文新主编；郭耀副主编；北京大学计算机学科核心课程系列实验班研究组编著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北京大学计算机学科核心课程系列实验班教学实施方案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李文新主编；郭耀副主编；北京大学计算机学科核心课程系列实验班研究组编著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本书出售、求购地址：https://www.jiaokey.com/book/detail/13227797.html</w:t>
      </w:r>
    </w:p>
    <w:p>
      <w:r>
        <w:t>更多相关图书推荐：https://www.jiaokey.com</w:t>
      </w:r>
    </w:p>
    <w:p>
      <w:r>
        <w:t>李文新主编；郭耀副主编；北京大学计算机学科核心课程系列实验班研究组编著 其他作品：https://www.jiaokey.com/tag/李文新主编；郭耀副主编；北京大学计算机学科核心课程系列实验班研究组编著.html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关键词搜索：https://www.jiaokey.com/tag/北京大学计算机学科核心课程系列实验班教学实施方案.html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