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人工影响天气管理条例释义</w:t>
      </w:r>
    </w:p>
    <w:p>
      <w:r>
        <w:rPr>
          <w:rFonts w:ascii="宋体" w:hAnsi="宋体" w:eastAsia="宋体"/>
          <w:sz w:val="24"/>
        </w:rPr>
        <w:t>曹康泰，许小峰主编；李修池，王振江，刘献华副主编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人工影响天气管理条例释义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曹康泰，许小峰主编；李修池，王振江，刘献华副主编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本书出售、求购地址：https://www.jiaokey.com/book/detail/13227178.html</w:t>
      </w:r>
    </w:p>
    <w:p>
      <w:r>
        <w:t>更多相关图书推荐：https://www.jiaokey.com</w:t>
      </w:r>
    </w:p>
    <w:p>
      <w:r>
        <w:t>曹康泰，许小峰主编；李修池，王振江，刘献华副主编 其他作品：https://www.jiaokey.com/tag/曹康泰，许小峰主编；李修池，王振江，刘献华副主编.html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关键词搜索：https://www.jiaokey.com/tag/人工影响天气管理条例释义.html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