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Windows程式设计  高手必看秘笈</w:t>
      </w:r>
    </w:p>
    <w:p>
      <w:r>
        <w:rPr>
          <w:rFonts w:ascii="宋体" w:hAnsi="宋体" w:eastAsia="宋体"/>
          <w:sz w:val="24"/>
        </w:rPr>
        <w:t>江汉龙编著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Windows程式设计  高手必看秘笈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本书出售、求购地址：https://www.jiaokey.com/book/detail/13226745.html</w:t>
      </w:r>
    </w:p>
    <w:p>
      <w:r>
        <w:t>更多相关图书推荐：https://www.jiaokey.com</w:t>
      </w:r>
    </w:p>
    <w:p>
      <w:r>
        <w:t>江汉龙编著 其他作品：https://www.jiaokey.com/tag/江汉龙编著.html</w:t>
      </w:r>
    </w:p>
    <w:p>
      <w:r>
        <w:t>博硕顾问有限公司 出版图书：https://www.jiaokey.com/tag/博硕顾问有限公司.html</w:t>
      </w:r>
    </w:p>
    <w:p>
      <w:r>
        <w:t>关键词搜索：https://www.jiaokey.com/tag/FoxPro For Windows程式设计  高手必看秘笈.html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