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解密对冲基金指数与策略</w:t>
      </w:r>
    </w:p>
    <w:p>
      <w:r>
        <w:rPr>
          <w:rFonts w:ascii="宋体" w:hAnsi="宋体" w:eastAsia="宋体"/>
          <w:sz w:val="24"/>
        </w:rPr>
        <w:t>对冲网阿尔法研究中心组编；卢扬洲，李凌飞等编著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解密对冲基金指数与策略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对冲网阿尔法研究中心组编；卢扬洲，李凌飞等编著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本书出售、求购地址：https://www.jiaokey.com/book/detail/13226536.html</w:t>
      </w:r>
    </w:p>
    <w:p>
      <w:r>
        <w:t>更多相关图书推荐：https://www.jiaokey.com</w:t>
      </w:r>
    </w:p>
    <w:p>
      <w:r>
        <w:t>对冲网阿尔法研究中心组编；卢扬洲，李凌飞等编著 其他作品：https://www.jiaokey.com/tag/对冲网阿尔法研究中心组编；卢扬洲，李凌飞等编著.html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关键词搜索：https://www.jiaokey.com/tag/解密对冲基金指数与策略.html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