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交涉新尺牍  各种纠纷，软硬两用</w:t>
      </w:r>
    </w:p>
    <w:p>
      <w:r>
        <w:rPr>
          <w:rFonts w:ascii="宋体" w:hAnsi="宋体" w:eastAsia="宋体"/>
          <w:sz w:val="24"/>
        </w:rPr>
        <w:t>姚乃麟著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交涉新尺牍  各种纠纷，软硬两用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姚乃麟著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本书出售、求购地址：https://www.jiaokey.com/book/detail/13225060.html</w:t>
      </w:r>
    </w:p>
    <w:p>
      <w:r>
        <w:t>更多相关图书推荐：https://www.jiaokey.com</w:t>
      </w:r>
    </w:p>
    <w:p>
      <w:r>
        <w:t>姚乃麟著 其他作品：https://www.jiaokey.com/tag/姚乃麟著.html</w:t>
      </w:r>
    </w:p>
    <w:p>
      <w:r>
        <w:t>大众书局 出版图书：https://www.jiaokey.com/tag/大众书局.html</w:t>
      </w:r>
    </w:p>
    <w:p>
      <w:r>
        <w:t>关键词搜索：https://www.jiaokey.com/tag/交涉新尺牍  各种纠纷，软硬两用.html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