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第2册  卷28-57</w:t>
      </w:r>
    </w:p>
    <w:p>
      <w:r>
        <w:rPr>
          <w:rFonts w:ascii="宋体" w:hAnsi="宋体" w:eastAsia="宋体"/>
          <w:sz w:val="24"/>
        </w:rPr>
        <w:t>司马光编；胡三省音註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第2册  卷28-57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司马光编；胡三省音註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本书出售、求购地址：https://www.jiaokey.com/book/detail/13223710.html</w:t>
      </w:r>
    </w:p>
    <w:p>
      <w:r>
        <w:t>更多相关图书推荐：https://www.jiaokey.com</w:t>
      </w:r>
    </w:p>
    <w:p>
      <w:r>
        <w:t>司马光编；胡三省音註 其他作品：https://www.jiaokey.com/tag/司马光编；胡三省音註.html</w:t>
      </w:r>
    </w:p>
    <w:p>
      <w:r>
        <w:t>关键词搜索：https://www.jiaokey.com/tag/资治通鉴  第2册  卷28-57.html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