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连锁经营管理实务</w:t>
      </w:r>
    </w:p>
    <w:p>
      <w:r>
        <w:rPr>
          <w:rFonts w:ascii="宋体" w:hAnsi="宋体" w:eastAsia="宋体"/>
          <w:sz w:val="24"/>
        </w:rPr>
        <w:t>童宏祥主编；王晓艳副主编；钟志明主审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童宏祥主编；王晓艳副主编；钟志明主审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连锁经营-经营管理-高等职业教育-教材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本书出售、求购地址：https://www.jiaokey.com/book/detail/13221729.html</w:t>
      </w:r>
    </w:p>
    <w:p>
      <w:r>
        <w:t>更多相关图书推荐：https://www.jiaokey.com</w:t>
      </w:r>
    </w:p>
    <w:p>
      <w:r>
        <w:t>童宏祥主编；王晓艳副主编；钟志明主审 其他作品：https://www.jiaokey.com/tag/童宏祥主编；王晓艳副主编；钟志明主审.html</w:t>
      </w:r>
    </w:p>
    <w:p>
      <w:r>
        <w:t>上海:上海财经大学出版社,2012.10 出版图书：https://www.jiaokey.com/tag/上海:上海财经大学出版社,2012.10.html</w:t>
      </w:r>
    </w:p>
    <w:p>
      <w:r>
        <w:t>关键词搜索：https://www.jiaokey.com/tag/连锁经营-经营管理-高等职业教育-教材.html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