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工业遗产的保护与利用  “创意经济时代”的视角</w:t>
      </w:r>
    </w:p>
    <w:p>
      <w:r>
        <w:rPr>
          <w:rFonts w:ascii="宋体" w:hAnsi="宋体" w:eastAsia="宋体"/>
          <w:sz w:val="24"/>
        </w:rPr>
        <w:t>张京成，刘利永，刘光宇著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工业遗产的保护与利用  “创意经济时代”的视角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张京成，刘利永，刘光宇著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本书出售、求购地址：https://www.jiaokey.com/book/detail/13219624.html</w:t>
      </w:r>
    </w:p>
    <w:p>
      <w:r>
        <w:t>更多相关图书推荐：https://www.jiaokey.com</w:t>
      </w:r>
    </w:p>
    <w:p>
      <w:r>
        <w:t>张京成，刘利永，刘光宇著 其他作品：https://www.jiaokey.com/tag/张京成，刘利永，刘光宇著.html</w:t>
      </w:r>
    </w:p>
    <w:p>
      <w:r>
        <w:t>北京大学出版社 出版图书：https://www.jiaokey.com/tag/北京大学出版社.html</w:t>
      </w:r>
    </w:p>
    <w:p>
      <w:r>
        <w:t>关键词搜索：https://www.jiaokey.com/tag/工业遗产的保护与利用  “创意经济时代”的视角.html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