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盐业纠纷解决研究  以四川近现代盐业史料为中心</w:t>
      </w:r>
    </w:p>
    <w:p>
      <w:r>
        <w:rPr>
          <w:rFonts w:ascii="宋体" w:hAnsi="宋体" w:eastAsia="宋体"/>
          <w:sz w:val="24"/>
        </w:rPr>
        <w:t>吴斌，宋平，邱岳，秦双星著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盐业纠纷解决研究  以四川近现代盐业史料为中心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吴斌，宋平，邱岳，秦双星著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本书出售、求购地址：https://www.jiaokey.com/book/detail/13217026.html</w:t>
      </w:r>
    </w:p>
    <w:p>
      <w:r>
        <w:t>更多相关图书推荐：https://www.jiaokey.com</w:t>
      </w:r>
    </w:p>
    <w:p>
      <w:r>
        <w:t>吴斌，宋平，邱岳，秦双星著 其他作品：https://www.jiaokey.com/tag/吴斌，宋平，邱岳，秦双星著.html</w:t>
      </w:r>
    </w:p>
    <w:p>
      <w:r>
        <w:t>成都：巴蜀书社 出版图书：https://www.jiaokey.com/tag/成都：巴蜀书社.html</w:t>
      </w:r>
    </w:p>
    <w:p>
      <w:r>
        <w:t>关键词搜索：https://www.jiaokey.com/tag/盐业纠纷解决研究  以四川近现代盐业史料为中心.html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