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鱼之乐</w:t>
      </w:r>
    </w:p>
    <w:p>
      <w:r>
        <w:rPr>
          <w:rFonts w:ascii="宋体" w:hAnsi="宋体" w:eastAsia="宋体"/>
          <w:sz w:val="24"/>
        </w:rPr>
        <w:t>张伟忠主编；朱凌副主编；黄生华，徐雅英，俞立铭编辑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张伟忠主编；朱凌副主编；黄生华，徐雅英，俞立铭编辑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本书出售、求购地址：https://www.jiaokey.com/book/detail/13216865.html</w:t>
      </w:r>
    </w:p>
    <w:p>
      <w:r>
        <w:t>更多相关图书推荐：https://www.jiaokey.com</w:t>
      </w:r>
    </w:p>
    <w:p>
      <w:r>
        <w:t>张伟忠主编；朱凌副主编；黄生华，徐雅英，俞立铭编辑 其他作品：https://www.jiaokey.com/tag/张伟忠主编；朱凌副主编；黄生华，徐雅英，俞立铭编辑.html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关键词搜索：https://www.jiaokey.com/tag/鱼之乐.html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