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超等外差式接收机</w:t>
      </w:r>
    </w:p>
    <w:p>
      <w:r>
        <w:rPr>
          <w:rFonts w:ascii="宋体" w:hAnsi="宋体" w:eastAsia="宋体"/>
          <w:sz w:val="24"/>
        </w:rPr>
        <w:t>潘人庸，吴嘉城编著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超等外差式接收机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潘人庸，吴嘉城编著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新华无线电社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本书出售、求购地址：https://www.jiaokey.com/book/detail/13214945.html</w:t>
      </w:r>
    </w:p>
    <w:p>
      <w:r>
        <w:t>更多相关图书推荐：https://www.jiaokey.com</w:t>
      </w:r>
    </w:p>
    <w:p>
      <w:r>
        <w:t>潘人庸，吴嘉城编著 其他作品：https://www.jiaokey.com/tag/潘人庸，吴嘉城编著.html</w:t>
      </w:r>
    </w:p>
    <w:p>
      <w:r>
        <w:t>新华无线电社 出版图书：https://www.jiaokey.com/tag/新华无线电社.html</w:t>
      </w:r>
    </w:p>
    <w:p>
      <w:r>
        <w:t>关键词搜索：https://www.jiaokey.com/tag/超等外差式接收机.html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