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植物新品种权纠纷案件主要类型及法律解析</w:t>
      </w:r>
    </w:p>
    <w:p>
      <w:r>
        <w:rPr>
          <w:rFonts w:ascii="宋体" w:hAnsi="宋体" w:eastAsia="宋体"/>
          <w:sz w:val="24"/>
        </w:rPr>
        <w:t>侯仰坤主编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植物新品种权纠纷案件主要类型及法律解析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侯仰坤主编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本书出售、求购地址：https://www.jiaokey.com/book/detail/13210790.html</w:t>
      </w:r>
    </w:p>
    <w:p>
      <w:r>
        <w:t>更多相关图书推荐：https://www.jiaokey.com</w:t>
      </w:r>
    </w:p>
    <w:p>
      <w:r>
        <w:t>侯仰坤主编 其他作品：https://www.jiaokey.com/tag/侯仰坤主编.html</w:t>
      </w:r>
    </w:p>
    <w:p>
      <w:r>
        <w:t>关键词搜索：https://www.jiaokey.com/tag/植物新品种权纠纷案件主要类型及法律解析.html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