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  《劳动报》2012文萃典藏</w:t>
      </w:r>
    </w:p>
    <w:p>
      <w:r>
        <w:rPr>
          <w:rFonts w:ascii="宋体" w:hAnsi="宋体" w:eastAsia="宋体"/>
          <w:sz w:val="24"/>
        </w:rPr>
        <w:t>劳动报社编；张刚主编；谢鹰副主编；赵迎佳，王诗富，施严等编委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  《劳动报》2012文萃典藏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劳动报社编；张刚主编；谢鹰副主编；赵迎佳，王诗富，施严等编委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本书出售、求购地址：https://www.jiaokey.com/book/detail/13210563.html</w:t>
      </w:r>
    </w:p>
    <w:p>
      <w:r>
        <w:t>更多相关图书推荐：https://www.jiaokey.com</w:t>
      </w:r>
    </w:p>
    <w:p>
      <w:r>
        <w:t>劳动报社编；张刚主编；谢鹰副主编；赵迎佳，王诗富，施严等编委 其他作品：https://www.jiaokey.com/tag/劳动报社编；张刚主编；谢鹰副主编；赵迎佳，王诗富，施严等编委.html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关键词搜索：https://www.jiaokey.com/tag/破局  《劳动报》2012文萃典藏.html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