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河南第一新华印刷厂企业标准  第2册  管理制度</w:t>
      </w:r>
    </w:p>
    <w:p>
      <w:r>
        <w:rPr>
          <w:rFonts w:ascii="宋体" w:hAnsi="宋体" w:eastAsia="宋体"/>
          <w:sz w:val="24"/>
        </w:rPr>
        <w:t>河南第一新华印刷厂发布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河南第一新华印刷厂企业标准  第2册  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河南第一新华印刷厂发布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本书出售、求购地址：https://www.jiaokey.com/book/detail/13208202.html</w:t>
      </w:r>
    </w:p>
    <w:p>
      <w:r>
        <w:t>更多相关图书推荐：https://www.jiaokey.com</w:t>
      </w:r>
    </w:p>
    <w:p>
      <w:r>
        <w:t>河南第一新华印刷厂发布 其他作品：https://www.jiaokey.com/tag/河南第一新华印刷厂发布.html</w:t>
      </w:r>
    </w:p>
    <w:p>
      <w:r>
        <w:t>关键词搜索：https://www.jiaokey.com/tag/河南第一新华印刷厂企业标准  第2册  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