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2003</w:t>
      </w:r>
    </w:p>
    <w:p>
      <w:r>
        <w:rPr>
          <w:rFonts w:ascii="宋体" w:hAnsi="宋体" w:eastAsia="宋体"/>
          <w:sz w:val="24"/>
        </w:rPr>
        <w:t>商丘年鉴编辑委员会编；杨子建主编；黄炜，陈华光，吴敏副主编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商丘年鉴编辑委员会编；杨子建主编；黄炜，陈华光，吴敏副主编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本书出售、求购地址：https://www.jiaokey.com/book/detail/13208161.html</w:t>
      </w:r>
    </w:p>
    <w:p>
      <w:r>
        <w:t>更多相关图书推荐：https://www.jiaokey.com</w:t>
      </w:r>
    </w:p>
    <w:p>
      <w:r>
        <w:t>商丘年鉴编辑委员会编；杨子建主编；黄炜，陈华光，吴敏副主编 其他作品：https://www.jiaokey.com/tag/商丘年鉴编辑委员会编；杨子建主编；黄炜，陈华光，吴敏副主编.html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关键词搜索：https://www.jiaokey.com/tag/商丘年鉴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