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投影几何  画法几何</w:t>
      </w:r>
    </w:p>
    <w:p>
      <w:r>
        <w:rPr>
          <w:rFonts w:ascii="宋体" w:hAnsi="宋体" w:eastAsia="宋体"/>
          <w:sz w:val="24"/>
        </w:rPr>
        <w:t>（美）安东尼（Gardner Chace Anthony），（美）阿什利（George F.Ashley）著；叶庆桐译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投影几何  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（美）安东尼（Gardner Chace Anthony），（美）阿什利（George F.Ashley）著；叶庆桐译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本书出售、求购地址：https://www.jiaokey.com/book/detail/13204168.html</w:t>
      </w:r>
    </w:p>
    <w:p>
      <w:r>
        <w:t>更多相关图书推荐：https://www.jiaokey.com</w:t>
      </w:r>
    </w:p>
    <w:p>
      <w:r>
        <w:t>（美）安东尼（Gardner Chace Anthony），（美）阿什利（George F.Ashley）著；叶庆桐译 其他作品：https://www.jiaokey.com/tag/（美）安东尼（Gardner Chace Anthony），（美）阿什利（George F.Ashley）著；叶庆桐译.html</w:t>
      </w:r>
    </w:p>
    <w:p>
      <w:r>
        <w:t>龙门联合书局 出版图书：https://www.jiaokey.com/tag/龙门联合书局.html</w:t>
      </w:r>
    </w:p>
    <w:p>
      <w:r>
        <w:t>关键词搜索：https://www.jiaokey.com/tag/投影几何  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