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古文书的解读与研究  上篇</w:t>
      </w:r>
    </w:p>
    <w:p>
      <w:r>
        <w:rPr>
          <w:rFonts w:ascii="宋体" w:hAnsi="宋体" w:eastAsia="宋体"/>
          <w:sz w:val="24"/>
        </w:rPr>
        <w:t>吴学明，黄卓权编著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古文书的解读与研究 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吴学明，黄卓权编著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新竹县政府文化局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本书出售、求购地址：https://www.jiaokey.com/book/detail/13201379.html</w:t>
      </w:r>
    </w:p>
    <w:p>
      <w:r>
        <w:t>更多相关图书推荐：https://www.jiaokey.com</w:t>
      </w:r>
    </w:p>
    <w:p>
      <w:r>
        <w:t>吴学明，黄卓权编著 其他作品：https://www.jiaokey.com/tag/吴学明，黄卓权编著.html</w:t>
      </w:r>
    </w:p>
    <w:p>
      <w:r>
        <w:t>新竹县政府文化局 出版图书：https://www.jiaokey.com/tag/新竹县政府文化局.html</w:t>
      </w:r>
    </w:p>
    <w:p>
      <w:r>
        <w:t>关键词搜索：https://www.jiaokey.com/tag/古文书的解读与研究  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