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财报编制与财报分析  透视巴菲特解读财报的投资术</w:t>
      </w:r>
    </w:p>
    <w:p>
      <w:r>
        <w:rPr>
          <w:rFonts w:ascii="宋体" w:hAnsi="宋体" w:eastAsia="宋体"/>
          <w:sz w:val="24"/>
        </w:rPr>
        <w:t>陈志铿著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财报编制与财报分析  透视巴菲特解读财报的投资术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本书出售、求购地址：https://www.jiaokey.com/book/detail/13201354.html</w:t>
      </w:r>
    </w:p>
    <w:p>
      <w:r>
        <w:t>更多相关图书推荐：https://www.jiaokey.com</w:t>
      </w:r>
    </w:p>
    <w:p>
      <w:r>
        <w:t>陈志铿著 其他作品：https://www.jiaokey.com/tag/陈志铿著.html</w:t>
      </w:r>
    </w:p>
    <w:p>
      <w:r>
        <w:t>寰宇出版股份有限公司 出版图书：https://www.jiaokey.com/tag/寰宇出版股份有限公司.html</w:t>
      </w:r>
    </w:p>
    <w:p>
      <w:r>
        <w:t>关键词搜索：https://www.jiaokey.com/tag/财报编制与财报分析  透视巴菲特解读财报的投资术.html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