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公司会计准则绪论</w:t>
      </w:r>
    </w:p>
    <w:p>
      <w:r>
        <w:rPr>
          <w:rFonts w:ascii="宋体" w:hAnsi="宋体" w:eastAsia="宋体"/>
          <w:sz w:val="24"/>
        </w:rPr>
        <w:t>（美）裴登（W.A.Paton），（美）利特尔吞（A.B.Littleton）撰；潘序伦译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公司会计准则绪论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（美）裴登（W.A.Paton），（美）利特尔吞（A.B.Littleton）撰；潘序伦译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本书出售、求购地址：https://www.jiaokey.com/book/detail/13199958.html</w:t>
      </w:r>
    </w:p>
    <w:p>
      <w:r>
        <w:t>更多相关图书推荐：https://www.jiaokey.com</w:t>
      </w:r>
    </w:p>
    <w:p>
      <w:r>
        <w:t>（美）裴登（W.A.Paton），（美）利特尔吞（A.B.Littleton）撰；潘序伦译 其他作品：https://www.jiaokey.com/tag/（美）裴登（W.A.Paton），（美）利特尔吞（A.B.Littleton）撰；潘序伦译.html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关键词搜索：https://www.jiaokey.com/tag/公司会计准则绪论.html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