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思想战与宣传战</w:t>
      </w:r>
    </w:p>
    <w:p>
      <w:r>
        <w:rPr>
          <w:rFonts w:ascii="宋体" w:hAnsi="宋体" w:eastAsia="宋体"/>
          <w:sz w:val="24"/>
        </w:rPr>
        <w:t>（日）神田孝一编著；余仲瑶译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思想战与宣传战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（日）神田孝一编著；余仲瑶译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本书出售、求购地址：https://www.jiaokey.com/book/detail/13199673.html</w:t>
      </w:r>
    </w:p>
    <w:p>
      <w:r>
        <w:t>更多相关图书推荐：https://www.jiaokey.com</w:t>
      </w:r>
    </w:p>
    <w:p>
      <w:r>
        <w:t>（日）神田孝一编著；余仲瑶译 其他作品：https://www.jiaokey.com/tag/（日）神田孝一编著；余仲瑶译.html</w:t>
      </w:r>
    </w:p>
    <w:p>
      <w:r>
        <w:t>华中图书公司 出版图书：https://www.jiaokey.com/tag/华中图书公司.html</w:t>
      </w:r>
    </w:p>
    <w:p>
      <w:r>
        <w:t>关键词搜索：https://www.jiaokey.com/tag/思想战与宣传战.html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