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直隶职业教育与地方物产</w:t>
      </w:r>
    </w:p>
    <w:p>
      <w:r>
        <w:rPr>
          <w:rFonts w:ascii="宋体" w:hAnsi="宋体" w:eastAsia="宋体"/>
          <w:sz w:val="24"/>
        </w:rPr>
        <w:t>直隶教育厅编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直隶职业教育与地方物产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直隶教育厅编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直隶教育厅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本书出售、求购地址：https://www.jiaokey.com/book/detail/13199569.html</w:t>
      </w:r>
    </w:p>
    <w:p>
      <w:r>
        <w:t>更多相关图书推荐：https://www.jiaokey.com</w:t>
      </w:r>
    </w:p>
    <w:p>
      <w:r>
        <w:t>直隶教育厅编 其他作品：https://www.jiaokey.com/tag/直隶教育厅编.html</w:t>
      </w:r>
    </w:p>
    <w:p>
      <w:r>
        <w:t>直隶教育厅 出版图书：https://www.jiaokey.com/tag/直隶教育厅.html</w:t>
      </w:r>
    </w:p>
    <w:p>
      <w:r>
        <w:t>关键词搜索：https://www.jiaokey.com/tag/直隶职业教育与地方物产.html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