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中国企业社会责任研究报告  2012</w:t>
      </w:r>
    </w:p>
    <w:p>
      <w:r>
        <w:rPr>
          <w:rFonts w:ascii="宋体" w:hAnsi="宋体" w:eastAsia="宋体"/>
          <w:sz w:val="24"/>
        </w:rPr>
        <w:t>陈佳贵，黄群慧，彭华岗，钟宏武等著；张蒽，孙孝文，许英杰，李国祥等数据分析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陈佳贵，黄群慧，彭华岗，钟宏武等著；张蒽，孙孝文，许英杰，李国祥等数据分析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本书出售、求购地址：https://www.jiaokey.com/book/detail/13197987.html</w:t>
      </w:r>
    </w:p>
    <w:p>
      <w:r>
        <w:t>更多相关图书推荐：https://www.jiaokey.com</w:t>
      </w:r>
    </w:p>
    <w:p>
      <w:r>
        <w:t>陈佳贵，黄群慧，彭华岗，钟宏武等著；张蒽，孙孝文，许英杰，李国祥等数据分析 其他作品：https://www.jiaokey.com/tag/陈佳贵，黄群慧，彭华岗，钟宏武等著；张蒽，孙孝文，许英杰，李国祥等数据分析.html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关键词搜索：https://www.jiaokey.com/tag/中国企业社会责任研究报告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