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中华优秀传统文化系列丛书  《弟子规》细讲</w:t>
      </w:r>
    </w:p>
    <w:p>
      <w:r>
        <w:rPr>
          <w:rFonts w:ascii="宋体" w:hAnsi="宋体" w:eastAsia="宋体"/>
          <w:sz w:val="24"/>
        </w:rPr>
        <w:t>蔡礼旭主讲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中华优秀传统文化系列丛书  《弟子规》细讲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蔡礼旭主讲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本书出售、求购地址：https://www.jiaokey.com/book/detail/13196534.html</w:t>
      </w:r>
    </w:p>
    <w:p>
      <w:r>
        <w:t>更多相关图书推荐：https://www.jiaokey.com</w:t>
      </w:r>
    </w:p>
    <w:p>
      <w:r>
        <w:t>蔡礼旭主讲 其他作品：https://www.jiaokey.com/tag/蔡礼旭主讲.html</w:t>
      </w:r>
    </w:p>
    <w:p>
      <w:r>
        <w:t>关键词搜索：https://www.jiaokey.com/tag/中华优秀传统文化系列丛书  《弟子规》细讲.html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