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杂家学派与《吕氏春秋》</w:t>
      </w:r>
    </w:p>
    <w:p>
      <w:r>
        <w:rPr>
          <w:rFonts w:ascii="宋体" w:hAnsi="宋体" w:eastAsia="宋体"/>
          <w:sz w:val="24"/>
        </w:rPr>
        <w:t>金开诚主编；金东瑞编著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杂家学派与《吕氏春秋》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金开诚主编；金东瑞编著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本书出售、求购地址：https://www.jiaokey.com/book/detail/13196073.html</w:t>
      </w:r>
    </w:p>
    <w:p>
      <w:r>
        <w:t>更多相关图书推荐：https://www.jiaokey.com</w:t>
      </w:r>
    </w:p>
    <w:p>
      <w:r>
        <w:t>金开诚主编；金东瑞编著 其他作品：https://www.jiaokey.com/tag/金开诚主编；金东瑞编著.html</w:t>
      </w:r>
    </w:p>
    <w:p>
      <w:r>
        <w:t>吉林文史出版社 出版图书：https://www.jiaokey.com/tag/吉林文史出版社.html</w:t>
      </w:r>
    </w:p>
    <w:p>
      <w:r>
        <w:t>关键词搜索：https://www.jiaokey.com/tag/中国文化知识读本  杂家学派与《吕氏春秋》.html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