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第3分册  侵犯公民人身权利、民主权利案、侵犯财产案、危害国防利益案</w:t>
      </w:r>
    </w:p>
    <w:p>
      <w:r>
        <w:t>作者：《最新执法办案实务丛书》编写组编</w:t>
      </w:r>
    </w:p>
    <w:p>
      <w:r>
        <w:t>出版社：北京：中国法制出版社</w:t>
      </w:r>
    </w:p>
    <w:p>
      <w:r>
        <w:t>出版日期：2013.02</w:t>
      </w:r>
    </w:p>
    <w:p>
      <w:r>
        <w:t>总页数：380</w:t>
      </w:r>
    </w:p>
    <w:p>
      <w:r>
        <w:t>更多请访问教客网: www.jiaokey.com</w:t>
      </w:r>
    </w:p>
    <w:p>
      <w:r>
        <w:t>图解立案证据定罪量刑标准与法律适用  第3分册  侵犯公民人身权利、民主权利案、侵犯财产案、危害国防利益案 评论地址：https://www.jiaokey.com/book/detail/13195724.html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