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老凤祥金银细工制作技艺</w:t>
      </w:r>
    </w:p>
    <w:p>
      <w:r>
        <w:rPr>
          <w:rFonts w:ascii="宋体" w:hAnsi="宋体" w:eastAsia="宋体"/>
          <w:sz w:val="24"/>
        </w:rPr>
        <w:t>张盛康主编；余世安执行主编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老凤祥金银细工制作技艺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张盛康主编；余世安执行主编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本书出售、求购地址：https://www.jiaokey.com/book/detail/13195150.html</w:t>
      </w:r>
    </w:p>
    <w:p>
      <w:r>
        <w:t>更多相关图书推荐：https://www.jiaokey.com</w:t>
      </w:r>
    </w:p>
    <w:p>
      <w:r>
        <w:t>张盛康主编；余世安执行主编 其他作品：https://www.jiaokey.com/tag/张盛康主编；余世安执行主编.html</w:t>
      </w:r>
    </w:p>
    <w:p>
      <w:r>
        <w:t>上海：上海文化出版社 出版图书：https://www.jiaokey.com/tag/上海：上海文化出版社.html</w:t>
      </w:r>
    </w:p>
    <w:p>
      <w:r>
        <w:t>关键词搜索：https://www.jiaokey.com/tag/老凤祥金银细工制作技艺.html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