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杂唛时代  文化身份、性别、日常生活实践与香港电影1970s</w:t>
      </w:r>
    </w:p>
    <w:p>
      <w:r>
        <w:rPr>
          <w:rFonts w:ascii="宋体" w:hAnsi="宋体" w:eastAsia="宋体"/>
          <w:sz w:val="24"/>
        </w:rPr>
        <w:t>罗贵祥，文洁华编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杂唛时代  文化身份、性别、日常生活实践与香港电影1970s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罗贵祥，文洁华编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本书出售、求购地址：https://www.jiaokey.com/book/detail/13190387.html</w:t>
      </w:r>
    </w:p>
    <w:p>
      <w:r>
        <w:t>更多相关图书推荐：https://www.jiaokey.com</w:t>
      </w:r>
    </w:p>
    <w:p>
      <w:r>
        <w:t>罗贵祥，文洁华编 其他作品：https://www.jiaokey.com/tag/罗贵祥，文洁华编.html</w:t>
      </w:r>
    </w:p>
    <w:p>
      <w:r>
        <w:t>牛津大学出版社 出版图书：https://www.jiaokey.com/tag/牛津大学出版社.html</w:t>
      </w:r>
    </w:p>
    <w:p>
      <w:r>
        <w:t>关键词搜索：https://www.jiaokey.com/tag/杂唛时代  文化身份、性别、日常生活实践与香港电影1970s.html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