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第18册  卷255至268  唐僖宗中和二年壬寅五月起  后梁均王乾化三年癸酉十一月止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第18册  卷255至268  唐僖宗中和二年壬寅五月起  后梁均王乾化三年癸酉十一月止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本书出售、求购地址：https://www.jiaokey.com/book/detail/13188037.html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第18册  卷255至268  唐僖宗中和二年壬寅五月起  后梁均王乾化三年癸酉十一月止.html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