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标准编写必读  GB/T  1.1—2000应用指南</w:t>
      </w:r>
    </w:p>
    <w:p>
      <w:r>
        <w:rPr>
          <w:rFonts w:ascii="宋体" w:hAnsi="宋体" w:eastAsia="宋体"/>
          <w:sz w:val="24"/>
        </w:rPr>
        <w:t>沈同主编；王长林，沈同，郑鹰等编写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标准编写必读  GB/T  1.1—2000应用指南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沈同主编；王长林，沈同，郑鹰等编写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本书出售、求购地址：https://www.jiaokey.com/book/detail/13182463.html</w:t>
      </w:r>
    </w:p>
    <w:p>
      <w:r>
        <w:t>更多相关图书推荐：https://www.jiaokey.com</w:t>
      </w:r>
    </w:p>
    <w:p>
      <w:r>
        <w:t>沈同主编；王长林，沈同，郑鹰等编写 其他作品：https://www.jiaokey.com/tag/沈同主编；王长林，沈同，郑鹰等编写.html</w:t>
      </w:r>
    </w:p>
    <w:p>
      <w:r>
        <w:t>海潮出版社 出版图书：https://www.jiaokey.com/tag/海潮出版社.html</w:t>
      </w:r>
    </w:p>
    <w:p>
      <w:r>
        <w:t>关键词搜索：https://www.jiaokey.com/tag/标准编写必读  GB/T  1.1—2000应用指南.html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