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民法通则实务与案例评析_根据最新法律、行政法规、司法解释编撰</w:t>
      </w:r>
    </w:p>
    <w:p>
      <w:r>
        <w:rPr>
          <w:rFonts w:ascii="宋体" w:hAnsi="宋体" w:eastAsia="宋体"/>
          <w:sz w:val="24"/>
        </w:rPr>
        <w:t>许峰主编；中国行为法学会主持；江平编委会主任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民法通则实务与案例评析_根据最新法律、行政法规、司法解释编撰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许峰主编；中国行为法学会主持；江平编委会主任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本书出售、求购地址：https://www.jiaokey.com/book/detail/13181454.html</w:t>
      </w:r>
    </w:p>
    <w:p>
      <w:r>
        <w:t>更多相关图书推荐：https://www.jiaokey.com</w:t>
      </w:r>
    </w:p>
    <w:p>
      <w:r>
        <w:t>许峰主编；中国行为法学会主持；江平编委会主任 其他作品：https://www.jiaokey.com/tag/许峰主编；中国行为法学会主持；江平编委会主任.html</w:t>
      </w:r>
    </w:p>
    <w:p>
      <w:r>
        <w:t>关键词搜索：https://www.jiaokey.com/tag/民法通则实务与案例评析_根据最新法律、行政法规、司法解释编撰.html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